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E10B" w14:textId="6009AA39" w:rsidR="00066D2A" w:rsidRDefault="007E006C" w:rsidP="00723654">
      <w:pPr>
        <w:widowControl/>
        <w:shd w:val="clear" w:color="auto" w:fill="FFFFFF"/>
        <w:spacing w:line="468" w:lineRule="atLeast"/>
        <w:jc w:val="center"/>
        <w:rPr>
          <w:rFonts w:ascii="黑体" w:eastAsia="黑体" w:hAnsi="黑体" w:cs="黑体" w:hint="eastAsia"/>
          <w:b/>
          <w:bCs/>
          <w:kern w:val="0"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北京大学人民医院青岛医院便携式手术头</w:t>
      </w:r>
      <w:proofErr w:type="gramStart"/>
      <w:r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灯采购项目</w:t>
      </w:r>
      <w:proofErr w:type="gramEnd"/>
      <w:r w:rsidR="00A00DCB" w:rsidRPr="00A00DCB"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更正公告</w:t>
      </w:r>
    </w:p>
    <w:p w14:paraId="4968CA8C" w14:textId="03FA6966" w:rsidR="00A00DCB" w:rsidRDefault="00C42D99" w:rsidP="004709EF">
      <w:pPr>
        <w:spacing w:line="700" w:lineRule="exact"/>
        <w:ind w:firstLineChars="200" w:firstLine="560"/>
        <w:rPr>
          <w:rFonts w:ascii="仿宋" w:eastAsia="仿宋" w:hAnsi="仿宋" w:cs="仿宋" w:hint="eastAsia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山东中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青汇采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>招标咨询有限公司</w:t>
      </w:r>
      <w:r w:rsidR="00FF0E9C" w:rsidRPr="00FF0E9C">
        <w:rPr>
          <w:rFonts w:ascii="仿宋" w:eastAsia="仿宋" w:hAnsi="仿宋" w:cs="仿宋" w:hint="eastAsia"/>
          <w:sz w:val="28"/>
          <w:szCs w:val="24"/>
        </w:rPr>
        <w:t>受</w:t>
      </w:r>
      <w:r w:rsidR="00B300FE">
        <w:rPr>
          <w:rFonts w:ascii="仿宋" w:eastAsia="仿宋" w:hAnsi="仿宋" w:cs="仿宋" w:hint="eastAsia"/>
          <w:sz w:val="28"/>
          <w:szCs w:val="24"/>
        </w:rPr>
        <w:t>北京大学人民医院青岛医院</w:t>
      </w:r>
      <w:r w:rsidR="00FF0E9C" w:rsidRPr="00FF0E9C">
        <w:rPr>
          <w:rFonts w:ascii="仿宋" w:eastAsia="仿宋" w:hAnsi="仿宋" w:cs="仿宋" w:hint="eastAsia"/>
          <w:sz w:val="28"/>
          <w:szCs w:val="24"/>
        </w:rPr>
        <w:t>的委托，对</w:t>
      </w:r>
      <w:r w:rsidR="007E006C">
        <w:rPr>
          <w:rFonts w:ascii="仿宋" w:eastAsia="仿宋" w:hAnsi="仿宋" w:hint="eastAsia"/>
          <w:sz w:val="28"/>
          <w:szCs w:val="28"/>
        </w:rPr>
        <w:t>北京大学人民医院青岛医院便携式手术头</w:t>
      </w:r>
      <w:proofErr w:type="gramStart"/>
      <w:r w:rsidR="007E006C">
        <w:rPr>
          <w:rFonts w:ascii="仿宋" w:eastAsia="仿宋" w:hAnsi="仿宋" w:hint="eastAsia"/>
          <w:sz w:val="28"/>
          <w:szCs w:val="28"/>
        </w:rPr>
        <w:t>灯采</w:t>
      </w:r>
      <w:proofErr w:type="gramEnd"/>
      <w:r w:rsidR="007E006C">
        <w:rPr>
          <w:rFonts w:ascii="仿宋" w:eastAsia="仿宋" w:hAnsi="仿宋" w:hint="eastAsia"/>
          <w:sz w:val="28"/>
          <w:szCs w:val="28"/>
        </w:rPr>
        <w:t>购项目</w:t>
      </w:r>
      <w:r w:rsidR="00FF0E9C" w:rsidRPr="00FF0E9C">
        <w:rPr>
          <w:rFonts w:ascii="仿宋" w:eastAsia="仿宋" w:hAnsi="仿宋" w:cs="仿宋" w:hint="eastAsia"/>
          <w:sz w:val="28"/>
          <w:szCs w:val="24"/>
        </w:rPr>
        <w:t>（项目编号：</w:t>
      </w:r>
      <w:r w:rsidR="007E006C">
        <w:rPr>
          <w:rFonts w:ascii="仿宋" w:eastAsia="仿宋" w:hAnsi="仿宋" w:hint="eastAsia"/>
          <w:sz w:val="28"/>
          <w:szCs w:val="28"/>
          <w:u w:val="single"/>
        </w:rPr>
        <w:t>SDGP370200000202402000834</w:t>
      </w:r>
      <w:r w:rsidR="00FF0E9C" w:rsidRPr="00FF0E9C">
        <w:rPr>
          <w:rFonts w:ascii="仿宋" w:eastAsia="仿宋" w:hAnsi="仿宋" w:cs="仿宋" w:hint="eastAsia"/>
          <w:sz w:val="28"/>
          <w:szCs w:val="24"/>
        </w:rPr>
        <w:t>）以</w:t>
      </w:r>
      <w:r w:rsidR="00E719E8">
        <w:rPr>
          <w:rFonts w:ascii="仿宋" w:eastAsia="仿宋" w:hAnsi="仿宋" w:cs="仿宋" w:hint="eastAsia"/>
          <w:sz w:val="28"/>
          <w:szCs w:val="24"/>
        </w:rPr>
        <w:t>公开招标</w:t>
      </w:r>
      <w:r w:rsidR="00FF0E9C" w:rsidRPr="00FF0E9C">
        <w:rPr>
          <w:rFonts w:ascii="仿宋" w:eastAsia="仿宋" w:hAnsi="仿宋" w:cs="仿宋" w:hint="eastAsia"/>
          <w:sz w:val="28"/>
          <w:szCs w:val="24"/>
        </w:rPr>
        <w:t>方式组织采购，本项目于</w:t>
      </w:r>
      <w:r w:rsidR="007A04A0">
        <w:rPr>
          <w:rFonts w:ascii="仿宋" w:eastAsia="仿宋" w:hAnsi="仿宋" w:cs="仿宋" w:hint="eastAsia"/>
          <w:sz w:val="28"/>
          <w:szCs w:val="24"/>
        </w:rPr>
        <w:t>202</w:t>
      </w:r>
      <w:r>
        <w:rPr>
          <w:rFonts w:ascii="仿宋" w:eastAsia="仿宋" w:hAnsi="仿宋" w:cs="仿宋" w:hint="eastAsia"/>
          <w:sz w:val="28"/>
          <w:szCs w:val="24"/>
        </w:rPr>
        <w:t>4</w:t>
      </w:r>
      <w:r w:rsidR="007A04A0">
        <w:rPr>
          <w:rFonts w:ascii="仿宋" w:eastAsia="仿宋" w:hAnsi="仿宋" w:cs="仿宋" w:hint="eastAsia"/>
          <w:sz w:val="28"/>
          <w:szCs w:val="24"/>
        </w:rPr>
        <w:t>年</w:t>
      </w:r>
      <w:r w:rsidR="007E006C">
        <w:rPr>
          <w:rFonts w:ascii="仿宋" w:eastAsia="仿宋" w:hAnsi="仿宋" w:cs="仿宋" w:hint="eastAsia"/>
          <w:sz w:val="28"/>
          <w:szCs w:val="24"/>
        </w:rPr>
        <w:t>9</w:t>
      </w:r>
      <w:r w:rsidR="007A04A0">
        <w:rPr>
          <w:rFonts w:ascii="仿宋" w:eastAsia="仿宋" w:hAnsi="仿宋" w:cs="仿宋" w:hint="eastAsia"/>
          <w:sz w:val="28"/>
          <w:szCs w:val="24"/>
        </w:rPr>
        <w:t>月</w:t>
      </w:r>
      <w:r w:rsidR="007E006C">
        <w:rPr>
          <w:rFonts w:ascii="仿宋" w:eastAsia="仿宋" w:hAnsi="仿宋" w:cs="仿宋" w:hint="eastAsia"/>
          <w:sz w:val="28"/>
          <w:szCs w:val="24"/>
        </w:rPr>
        <w:t>10</w:t>
      </w:r>
      <w:r w:rsidR="007A04A0">
        <w:rPr>
          <w:rFonts w:ascii="仿宋" w:eastAsia="仿宋" w:hAnsi="仿宋" w:cs="仿宋" w:hint="eastAsia"/>
          <w:sz w:val="28"/>
          <w:szCs w:val="24"/>
        </w:rPr>
        <w:t>日</w:t>
      </w:r>
      <w:r w:rsidR="00FF0E9C" w:rsidRPr="00FF0E9C">
        <w:rPr>
          <w:rFonts w:ascii="仿宋" w:eastAsia="仿宋" w:hAnsi="仿宋" w:cs="仿宋" w:hint="eastAsia"/>
          <w:sz w:val="28"/>
          <w:szCs w:val="24"/>
        </w:rPr>
        <w:t>在</w:t>
      </w:r>
      <w:r w:rsidR="00B300FE" w:rsidRPr="00B300FE">
        <w:rPr>
          <w:rFonts w:ascii="仿宋" w:eastAsia="仿宋" w:hAnsi="仿宋" w:cs="仿宋" w:hint="eastAsia"/>
          <w:sz w:val="28"/>
          <w:szCs w:val="24"/>
        </w:rPr>
        <w:t>青岛市政府采购网（www.ccgp-qingdao.gov.cn）和全国公共资源交易平台（山东省青岛市）青岛市公共资源交易电子服务系统（https://ggzy.qingdao.gov.cn）上发布</w:t>
      </w:r>
      <w:r>
        <w:rPr>
          <w:rFonts w:ascii="仿宋" w:eastAsia="仿宋" w:hAnsi="仿宋" w:cs="仿宋" w:hint="eastAsia"/>
          <w:sz w:val="28"/>
          <w:szCs w:val="24"/>
        </w:rPr>
        <w:t>公开</w:t>
      </w:r>
      <w:r w:rsidR="00E719E8">
        <w:rPr>
          <w:rFonts w:ascii="仿宋" w:eastAsia="仿宋" w:hAnsi="仿宋" w:cs="仿宋" w:hint="eastAsia"/>
          <w:sz w:val="28"/>
          <w:szCs w:val="24"/>
        </w:rPr>
        <w:t>招标</w:t>
      </w:r>
      <w:r w:rsidR="00FF0E9C" w:rsidRPr="00FF0E9C">
        <w:rPr>
          <w:rFonts w:ascii="仿宋" w:eastAsia="仿宋" w:hAnsi="仿宋" w:cs="仿宋" w:hint="eastAsia"/>
          <w:sz w:val="28"/>
          <w:szCs w:val="24"/>
        </w:rPr>
        <w:t>公告，</w:t>
      </w:r>
      <w:r w:rsidR="00085430" w:rsidRPr="00FF0E9C">
        <w:rPr>
          <w:rFonts w:ascii="仿宋" w:eastAsia="仿宋" w:hAnsi="仿宋" w:cs="仿宋" w:hint="eastAsia"/>
          <w:sz w:val="28"/>
          <w:szCs w:val="24"/>
        </w:rPr>
        <w:t>根据本项目实际情况</w:t>
      </w:r>
      <w:r w:rsidR="00085430">
        <w:rPr>
          <w:rFonts w:ascii="仿宋" w:eastAsia="仿宋" w:hAnsi="仿宋" w:cs="仿宋" w:hint="eastAsia"/>
          <w:sz w:val="28"/>
          <w:szCs w:val="24"/>
        </w:rPr>
        <w:t>，</w:t>
      </w:r>
      <w:r w:rsidR="00D8147B" w:rsidRPr="00FF0E9C">
        <w:rPr>
          <w:rFonts w:ascii="仿宋" w:eastAsia="仿宋" w:hAnsi="仿宋" w:cs="仿宋" w:hint="eastAsia"/>
          <w:sz w:val="28"/>
          <w:szCs w:val="24"/>
        </w:rPr>
        <w:t>经</w:t>
      </w:r>
      <w:r w:rsidR="00E719E8">
        <w:rPr>
          <w:rFonts w:ascii="仿宋" w:eastAsia="仿宋" w:hAnsi="仿宋" w:cs="仿宋" w:hint="eastAsia"/>
          <w:sz w:val="28"/>
          <w:szCs w:val="24"/>
        </w:rPr>
        <w:t>招标</w:t>
      </w:r>
      <w:r w:rsidR="007A04A0">
        <w:rPr>
          <w:rFonts w:ascii="仿宋" w:eastAsia="仿宋" w:hAnsi="仿宋" w:cs="仿宋" w:hint="eastAsia"/>
          <w:sz w:val="28"/>
          <w:szCs w:val="24"/>
        </w:rPr>
        <w:t>人</w:t>
      </w:r>
      <w:r w:rsidR="00D8147B" w:rsidRPr="00FF0E9C">
        <w:rPr>
          <w:rFonts w:ascii="仿宋" w:eastAsia="仿宋" w:hAnsi="仿宋" w:cs="仿宋" w:hint="eastAsia"/>
          <w:sz w:val="28"/>
          <w:szCs w:val="24"/>
        </w:rPr>
        <w:t>研究</w:t>
      </w:r>
      <w:r w:rsidR="00A00DCB">
        <w:rPr>
          <w:rFonts w:ascii="仿宋" w:eastAsia="仿宋" w:hAnsi="仿宋" w:cs="仿宋" w:hint="eastAsia"/>
          <w:sz w:val="28"/>
          <w:szCs w:val="24"/>
        </w:rPr>
        <w:t>现</w:t>
      </w:r>
      <w:r w:rsidR="00D8147B">
        <w:rPr>
          <w:rFonts w:ascii="仿宋" w:eastAsia="仿宋" w:hAnsi="仿宋" w:cs="仿宋" w:hint="eastAsia"/>
          <w:sz w:val="28"/>
          <w:szCs w:val="24"/>
        </w:rPr>
        <w:t>对</w:t>
      </w:r>
      <w:r w:rsidR="00E719E8">
        <w:rPr>
          <w:rFonts w:ascii="仿宋" w:eastAsia="仿宋" w:hAnsi="仿宋" w:cs="仿宋" w:hint="eastAsia"/>
          <w:sz w:val="28"/>
          <w:szCs w:val="24"/>
        </w:rPr>
        <w:t>招标</w:t>
      </w:r>
      <w:r w:rsidR="00A00DCB">
        <w:rPr>
          <w:rFonts w:ascii="仿宋" w:eastAsia="仿宋" w:hAnsi="仿宋" w:cs="仿宋" w:hint="eastAsia"/>
          <w:sz w:val="28"/>
          <w:szCs w:val="24"/>
        </w:rPr>
        <w:t>文件</w:t>
      </w:r>
      <w:proofErr w:type="gramStart"/>
      <w:r w:rsidR="00A00DCB">
        <w:rPr>
          <w:rFonts w:ascii="仿宋" w:eastAsia="仿宋" w:hAnsi="仿宋" w:cs="仿宋" w:hint="eastAsia"/>
          <w:sz w:val="28"/>
          <w:szCs w:val="24"/>
        </w:rPr>
        <w:t>作出</w:t>
      </w:r>
      <w:proofErr w:type="gramEnd"/>
      <w:r w:rsidR="00A00DCB">
        <w:rPr>
          <w:rFonts w:ascii="仿宋" w:eastAsia="仿宋" w:hAnsi="仿宋" w:cs="仿宋" w:hint="eastAsia"/>
          <w:sz w:val="28"/>
          <w:szCs w:val="24"/>
        </w:rPr>
        <w:t>如下更正：</w:t>
      </w:r>
    </w:p>
    <w:p w14:paraId="76BFC7F4" w14:textId="386B86A7" w:rsidR="00B300FE" w:rsidRPr="00E77063" w:rsidRDefault="00E45D39" w:rsidP="00E77063">
      <w:pPr>
        <w:pStyle w:val="a3"/>
        <w:numPr>
          <w:ilvl w:val="0"/>
          <w:numId w:val="4"/>
        </w:numPr>
        <w:spacing w:afterLines="50" w:after="156" w:line="360" w:lineRule="auto"/>
        <w:ind w:firstLineChars="0"/>
        <w:outlineLvl w:val="2"/>
        <w:rPr>
          <w:rFonts w:ascii="仿宋_GB2312" w:eastAsia="仿宋_GB2312" w:hAnsi="仿宋" w:cs="Calibri" w:hint="eastAsia"/>
          <w:sz w:val="28"/>
          <w:szCs w:val="28"/>
          <w:u w:color="000000"/>
        </w:rPr>
      </w:pPr>
      <w:r w:rsidRPr="00E77063">
        <w:rPr>
          <w:rFonts w:ascii="仿宋_GB2312" w:eastAsia="仿宋_GB2312" w:hAnsi="仿宋" w:cs="Calibri" w:hint="eastAsia"/>
          <w:sz w:val="28"/>
          <w:szCs w:val="28"/>
          <w:u w:color="000000"/>
        </w:rPr>
        <w:t>原</w:t>
      </w:r>
      <w:r w:rsidR="00B300FE" w:rsidRPr="00E77063">
        <w:rPr>
          <w:rFonts w:ascii="仿宋_GB2312" w:eastAsia="仿宋_GB2312" w:hAnsi="仿宋" w:cs="Calibri" w:hint="eastAsia"/>
          <w:sz w:val="28"/>
          <w:szCs w:val="28"/>
          <w:u w:color="000000"/>
        </w:rPr>
        <w:t>招标文件</w:t>
      </w:r>
      <w:bookmarkStart w:id="0" w:name="_Toc256000005"/>
      <w:r w:rsidR="00B300FE" w:rsidRPr="00E77063">
        <w:rPr>
          <w:rFonts w:ascii="仿宋_GB2312" w:eastAsia="仿宋_GB2312" w:hAnsi="仿宋" w:cs="Calibri"/>
          <w:sz w:val="28"/>
          <w:szCs w:val="28"/>
          <w:u w:color="000000"/>
        </w:rPr>
        <w:t>第</w:t>
      </w:r>
      <w:r w:rsidR="007E006C" w:rsidRPr="00E77063">
        <w:rPr>
          <w:rFonts w:ascii="仿宋_GB2312" w:eastAsia="仿宋_GB2312" w:hAnsi="仿宋" w:cs="Calibri" w:hint="eastAsia"/>
          <w:sz w:val="28"/>
          <w:szCs w:val="28"/>
          <w:u w:color="000000"/>
        </w:rPr>
        <w:t>五</w:t>
      </w:r>
      <w:r w:rsidR="00B300FE" w:rsidRPr="00E77063">
        <w:rPr>
          <w:rFonts w:ascii="仿宋_GB2312" w:eastAsia="仿宋_GB2312" w:hAnsi="仿宋" w:cs="Calibri"/>
          <w:sz w:val="28"/>
          <w:szCs w:val="28"/>
          <w:u w:color="000000"/>
        </w:rPr>
        <w:t>章</w:t>
      </w:r>
      <w:r w:rsidR="00B300FE" w:rsidRPr="00E77063">
        <w:rPr>
          <w:rFonts w:ascii="仿宋_GB2312" w:eastAsia="仿宋_GB2312" w:hAnsi="仿宋" w:cs="Calibri" w:hint="eastAsia"/>
          <w:sz w:val="28"/>
          <w:szCs w:val="28"/>
          <w:u w:color="000000"/>
        </w:rPr>
        <w:t xml:space="preserve">  </w:t>
      </w:r>
      <w:bookmarkEnd w:id="0"/>
      <w:r w:rsidR="007E006C" w:rsidRPr="00E77063">
        <w:rPr>
          <w:rFonts w:ascii="仿宋_GB2312" w:eastAsia="仿宋_GB2312" w:hAnsi="仿宋" w:cs="Calibri" w:hint="eastAsia"/>
          <w:sz w:val="28"/>
          <w:szCs w:val="28"/>
          <w:u w:color="000000"/>
        </w:rPr>
        <w:t>评标办法</w:t>
      </w:r>
      <w:r w:rsidR="00B300FE" w:rsidRPr="00E77063">
        <w:rPr>
          <w:rFonts w:ascii="仿宋_GB2312" w:eastAsia="仿宋_GB2312" w:hAnsi="仿宋" w:cs="Calibri" w:hint="eastAsia"/>
          <w:sz w:val="28"/>
          <w:szCs w:val="28"/>
          <w:u w:color="000000"/>
        </w:rPr>
        <w:t>“</w:t>
      </w:r>
      <w:bookmarkStart w:id="1" w:name="_Toc256000012"/>
      <w:r w:rsidR="007E006C" w:rsidRPr="00E77063">
        <w:rPr>
          <w:rFonts w:ascii="仿宋_GB2312" w:eastAsia="仿宋_GB2312" w:hAnsi="仿宋" w:cs="Calibri" w:hint="eastAsia"/>
          <w:sz w:val="28"/>
          <w:szCs w:val="28"/>
          <w:u w:color="000000"/>
        </w:rPr>
        <w:t>2.评分标准</w:t>
      </w:r>
      <w:bookmarkEnd w:id="1"/>
      <w:r w:rsidR="00B300FE" w:rsidRPr="00E77063">
        <w:rPr>
          <w:rFonts w:ascii="仿宋_GB2312" w:eastAsia="仿宋_GB2312" w:hAnsi="仿宋" w:cs="Calibri" w:hint="eastAsia"/>
          <w:sz w:val="28"/>
          <w:szCs w:val="28"/>
          <w:u w:color="000000"/>
        </w:rPr>
        <w:t>”中：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6"/>
        <w:gridCol w:w="1467"/>
        <w:gridCol w:w="3667"/>
      </w:tblGrid>
      <w:tr w:rsidR="00E77063" w14:paraId="5FA468F6" w14:textId="77777777" w:rsidTr="00406D09">
        <w:trPr>
          <w:jc w:val="center"/>
        </w:trPr>
        <w:tc>
          <w:tcPr>
            <w:tcW w:w="3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2E5CAA" w14:textId="77777777" w:rsidR="00E77063" w:rsidRDefault="00E77063" w:rsidP="005E342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A5B614" w14:textId="77777777" w:rsidR="00E77063" w:rsidRDefault="00E77063" w:rsidP="005E342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4712AE" w14:textId="77777777" w:rsidR="00E77063" w:rsidRDefault="00E77063" w:rsidP="005E342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</w:tr>
      <w:tr w:rsidR="0031271F" w14:paraId="4C914798" w14:textId="77777777" w:rsidTr="00406D09">
        <w:trPr>
          <w:jc w:val="center"/>
        </w:trPr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53B2D5" w14:textId="77777777" w:rsidR="0031271F" w:rsidRDefault="0031271F" w:rsidP="003127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技术部分(汇总规则:取去掉0个最高分、0个最低分后的算术平均值; )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005F90" w14:textId="1CF3F13D" w:rsidR="0031271F" w:rsidRDefault="0031271F" w:rsidP="003127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整体性能质量的评价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5EC40B" w14:textId="32102004" w:rsidR="0031271F" w:rsidRDefault="0031271F" w:rsidP="003127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质量性能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93C4B2" w14:textId="2FA901FC" w:rsidR="0031271F" w:rsidRDefault="0031271F" w:rsidP="003127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EDC451" w14:textId="01BDF3CC" w:rsid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根据所投产品的各项性能，产品的安全性、适用性、可靠性进行评价：所投产品整体性能高、性能可靠，安全耐用，整体优于招标文件要求的，得10分； 所投产品的整体性能指标完备、安全，具有一定可靠性，完全满足招标文件要求的，得7分； 所投产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品整体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性能指标安全可靠，基本可满足招标文件要求的，得4分； 所投产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品无法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满足招标文件要求的不得分。</w:t>
            </w:r>
          </w:p>
        </w:tc>
      </w:tr>
      <w:tr w:rsidR="0031271F" w14:paraId="2FD01632" w14:textId="77777777" w:rsidTr="00406D09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68D5" w14:textId="77777777" w:rsid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6B2AF" w14:textId="77777777" w:rsid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61AE6D" w14:textId="55ADE765" w:rsidR="0031271F" w:rsidRDefault="0031271F" w:rsidP="003127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  <w:t>产品便捷性、安全性、先进性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6D770B" w14:textId="3DED337D" w:rsidR="0031271F" w:rsidRDefault="0031271F" w:rsidP="003127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  <w:t>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CCCF7" w14:textId="6F7221DA" w:rsid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  <w:t>投标人提供的产品性能指标明显优于招标需求且具有实际应用价值，质量可靠、操作便捷、有利于设备实际操作、各项产品质量保证方案和措施均严密有效的，得 5分； 投标人提供的产品多数性能指标与采购需求一致，且产品操作便捷程度更高，有质量控制和检测方案、措施，得 3分； 产品存在短期升级淘汰、更新替代风险的；或者有关方案措施不严密、有缺项或不足（提供的方案措施不完整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  <w:lastRenderedPageBreak/>
              <w:t>或缺少关键点、非专门针对本项目或不适用本项目特性、对同一内容前后表述矛盾或存在逻辑漏洞、科学原理或常识错误等任意一种情形）， 得 1 分。</w:t>
            </w:r>
          </w:p>
        </w:tc>
      </w:tr>
      <w:tr w:rsidR="00F9342D" w14:paraId="4CB9FD49" w14:textId="77777777" w:rsidTr="00EA33DE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3EC16" w14:textId="77777777" w:rsidR="00F9342D" w:rsidRDefault="00F9342D" w:rsidP="00F9342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9A06" w14:textId="69E9563E" w:rsidR="00F9342D" w:rsidRDefault="00F9342D" w:rsidP="00F93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  <w:t>安全保护装置、设备控制方案、控制程序及控制界面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AEC426" w14:textId="379E7A6A" w:rsidR="00F9342D" w:rsidRDefault="00F9342D" w:rsidP="00F93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A7DC45" w14:textId="55CB11F1" w:rsidR="00F9342D" w:rsidRDefault="00F9342D" w:rsidP="00F9342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  <w:t xml:space="preserve">所投设备的各项安全保护装置的设置完备、设备控制方案、控制程序及控制界面的设计科学的，得3分；所投设备的各项安全保护装置的设置一般、设备控制方案、控制程序及控制界面的设计符合使用需要的，得1分； 所投设备的各项安全保护装置的设置不合理、设备控制方案、控制程序及控制界面的设计较差的，得0分。 </w:t>
            </w:r>
          </w:p>
        </w:tc>
      </w:tr>
      <w:tr w:rsidR="00E77063" w14:paraId="6C50E4C0" w14:textId="77777777" w:rsidTr="00406D09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4908B" w14:textId="77777777" w:rsidR="00E77063" w:rsidRDefault="00E77063" w:rsidP="005E34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E9CF94" w14:textId="77777777" w:rsidR="00E77063" w:rsidRDefault="00E77063" w:rsidP="005E34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供货组织方案、技术保证措施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CD4B9D" w14:textId="77777777" w:rsidR="00E77063" w:rsidRDefault="00E77063" w:rsidP="005E34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DAA09F" w14:textId="77777777" w:rsidR="00E77063" w:rsidRDefault="00E77063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供货组织方案详细明确、产品安装和调试的主要技术保证措施表述完整、切合实际，满足日常工作要求，得 3分； 供货组织方案较为详细明确但仍有不足、产品安装和调试的主要技术保证措施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表述较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完整、比较切合实际，基本能满 足日常工作要求，得2 分； 供货组织方案简略、产品安装和调试的主要技术保证措施表述不完整，得 1 分； 方案可操作性差，无法满足日常工作要求，得 0分。</w:t>
            </w:r>
          </w:p>
        </w:tc>
      </w:tr>
      <w:tr w:rsidR="00E77063" w14:paraId="28D4E0C3" w14:textId="77777777" w:rsidTr="00406D09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96A7" w14:textId="77777777" w:rsidR="00E77063" w:rsidRDefault="00E77063" w:rsidP="005E34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F47D15" w14:textId="77777777" w:rsidR="00E77063" w:rsidRDefault="00E77063" w:rsidP="005E34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培训计划和应用技术支持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6F3E35" w14:textId="77777777" w:rsidR="00E77063" w:rsidRDefault="00E77063" w:rsidP="005E34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B25E34" w14:textId="77777777" w:rsidR="00E77063" w:rsidRDefault="00E77063" w:rsidP="00F9342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投标人提供的培训计划详细科学，培训方案严谨，得3分；投标人提供的培训计划基本满足要求，得2分；投标人提供的培训方案一般，培训计划较差的，得1分；未进行描述得0分。</w:t>
            </w:r>
          </w:p>
        </w:tc>
      </w:tr>
      <w:tr w:rsidR="00E77063" w14:paraId="6168A623" w14:textId="77777777" w:rsidTr="00406D09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53AA" w14:textId="77777777" w:rsidR="00E77063" w:rsidRDefault="00E77063" w:rsidP="005E34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F9446D" w14:textId="77777777" w:rsidR="00E77063" w:rsidRDefault="00E77063" w:rsidP="005E34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售后服务能力的评价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C2CEC1" w14:textId="77777777" w:rsidR="00E77063" w:rsidRDefault="00E77063" w:rsidP="005E342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82B50D" w14:textId="77777777" w:rsidR="00E77063" w:rsidRDefault="00E77063" w:rsidP="00F9342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根据投标人提供的售后服务机构、售后服务安排、维修的反应速度及售后服务措施等售后服务方案进行打分： 1、售后服务描述全面、安排合理、维修反应速度快、售后服务措施得当得 5分； 2、售后服务安排较为合理、维修反应较快、售后服务措施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较为当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得 3分； 3、售后服务安排不合理、维修反应速度慢、售后服务措施不得当得 1 分； 4、未提供售后服务方案得 0分。</w:t>
            </w:r>
          </w:p>
        </w:tc>
      </w:tr>
    </w:tbl>
    <w:p w14:paraId="5F2FE488" w14:textId="35B84647" w:rsidR="00E45D39" w:rsidRDefault="00E45D39" w:rsidP="00E22801">
      <w:pPr>
        <w:spacing w:line="700" w:lineRule="exact"/>
        <w:ind w:firstLineChars="200" w:firstLine="560"/>
        <w:rPr>
          <w:rFonts w:ascii="仿宋_GB2312" w:eastAsia="仿宋_GB2312" w:hAnsi="仿宋" w:cs="Calibri" w:hint="eastAsia"/>
          <w:sz w:val="28"/>
          <w:szCs w:val="28"/>
          <w:u w:color="000000"/>
        </w:rPr>
      </w:pPr>
      <w:r w:rsidRPr="00E22801">
        <w:rPr>
          <w:rFonts w:ascii="仿宋_GB2312" w:eastAsia="仿宋_GB2312" w:hAnsi="仿宋" w:cs="Calibri" w:hint="eastAsia"/>
          <w:sz w:val="28"/>
          <w:szCs w:val="28"/>
          <w:u w:color="000000"/>
        </w:rPr>
        <w:t>现</w:t>
      </w:r>
      <w:r w:rsidRPr="00E22801">
        <w:rPr>
          <w:rFonts w:ascii="仿宋_GB2312" w:eastAsia="仿宋_GB2312" w:hAnsi="仿宋" w:cs="Calibri"/>
          <w:sz w:val="28"/>
          <w:szCs w:val="28"/>
          <w:u w:color="000000"/>
        </w:rPr>
        <w:t>更正为</w:t>
      </w:r>
      <w:r w:rsidRPr="00E22801">
        <w:rPr>
          <w:rFonts w:ascii="仿宋_GB2312" w:eastAsia="仿宋_GB2312" w:hAnsi="仿宋" w:cs="Calibri" w:hint="eastAsia"/>
          <w:sz w:val="28"/>
          <w:szCs w:val="28"/>
          <w:u w:color="000000"/>
        </w:rPr>
        <w:t>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1166"/>
        <w:gridCol w:w="1467"/>
        <w:gridCol w:w="3667"/>
      </w:tblGrid>
      <w:tr w:rsidR="0031271F" w14:paraId="56B9C98C" w14:textId="77777777" w:rsidTr="00C01BB2">
        <w:trPr>
          <w:jc w:val="center"/>
        </w:trPr>
        <w:tc>
          <w:tcPr>
            <w:tcW w:w="3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2B1544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DB7BE4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12C976B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</w:tr>
      <w:tr w:rsidR="0031271F" w14:paraId="64DD58B7" w14:textId="77777777" w:rsidTr="00C01BB2">
        <w:trPr>
          <w:jc w:val="center"/>
        </w:trPr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075EC6F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技术部分(汇总规则:取去掉0个最高分、0个最低分后的算术平均值; )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FC195E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整体性能质量的评价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660A16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质量性能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9DA6C9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39289E" w14:textId="77777777" w:rsidR="0031271F" w:rsidRP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根据所投产品的各项性能，产品的安全性、适用性、可靠性进行评价：</w:t>
            </w:r>
          </w:p>
          <w:p w14:paraId="69D82ABC" w14:textId="7F50734F" w:rsidR="0031271F" w:rsidRP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（1）所投产品整体性能高、性能可靠，安全耐用，整体优于采购需求的，得1</w:t>
            </w: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分；</w:t>
            </w:r>
          </w:p>
          <w:p w14:paraId="24EC595F" w14:textId="77777777" w:rsidR="0031271F" w:rsidRP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（2）所投产品的整体性能完备、安全，具有可靠性，完全满足招标文件要求的，得7分；</w:t>
            </w:r>
          </w:p>
          <w:p w14:paraId="1A2D5AA5" w14:textId="77777777" w:rsidR="0031271F" w:rsidRP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（3）所投产</w:t>
            </w:r>
            <w:proofErr w:type="gramStart"/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品部分</w:t>
            </w:r>
            <w:proofErr w:type="gramEnd"/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性能指标安全可靠，部分参数满足招标文件要求的，得4分；</w:t>
            </w:r>
          </w:p>
          <w:p w14:paraId="6C146115" w14:textId="58FB2A35" w:rsid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（4）所投产</w:t>
            </w:r>
            <w:proofErr w:type="gramStart"/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品无法</w:t>
            </w:r>
            <w:proofErr w:type="gramEnd"/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满足招标文件要求的不得分。</w:t>
            </w:r>
          </w:p>
        </w:tc>
      </w:tr>
      <w:tr w:rsidR="0031271F" w14:paraId="12766A33" w14:textId="77777777" w:rsidTr="00EF6E55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4883" w14:textId="77777777" w:rsid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8FE0" w14:textId="77777777" w:rsid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074662" w14:textId="6D974A28" w:rsid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产品成熟性、便捷性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241EC7" w14:textId="445062D9" w:rsidR="0031271F" w:rsidRDefault="0031271F" w:rsidP="003127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val="en-US" w:eastAsia="zh-CN" w:bidi="ar-SA"/>
              </w:rPr>
              <w:t>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C2505DC" w14:textId="77777777" w:rsidR="0031271F" w:rsidRP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根据投标人提供的产品成熟性、便捷性等性能进行评价：</w:t>
            </w:r>
          </w:p>
          <w:p w14:paraId="635EB9FD" w14:textId="52515608" w:rsidR="0031271F" w:rsidRP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（1）投标人提供的产品效能明显优于采购需求且具有实际应用价值，质量可靠、操作便捷、有利于设备实际操作、各项产品质量保证方案和措施均严密有效的，得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分； </w:t>
            </w:r>
          </w:p>
          <w:p w14:paraId="4411FC7F" w14:textId="77777777" w:rsidR="0031271F" w:rsidRP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（2）投标人提供的产品多数效能与采购需求一致，且产品操作便捷程度更高，有质量控制和检测方案、措施，得3分； </w:t>
            </w:r>
          </w:p>
          <w:p w14:paraId="66BD97D3" w14:textId="011068F6" w:rsidR="0031271F" w:rsidRDefault="0031271F" w:rsidP="003127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产品存在短期升级淘汰、更新替代风险的；或者有关方案措施不严密、有缺项或不足（提供的方案措施不完整或缺少关键点、非专门针对本项目或不适用本项目特性、对同一内容前后表述矛盾或存在逻辑漏洞、科学原理或常识错误等任意一种情形）， 得1分。</w:t>
            </w:r>
          </w:p>
        </w:tc>
      </w:tr>
      <w:tr w:rsidR="00F9342D" w14:paraId="7F2CF798" w14:textId="77777777" w:rsidTr="00B92D43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156A9" w14:textId="77777777" w:rsidR="00F9342D" w:rsidRDefault="00F9342D" w:rsidP="00F9342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A9BD9" w14:textId="5CE64F41" w:rsidR="00F9342D" w:rsidRPr="0031271F" w:rsidRDefault="00F9342D" w:rsidP="00F9342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34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紧急故障处理预案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D99B63" w14:textId="3B6A81B2" w:rsidR="00F9342D" w:rsidRPr="00F9342D" w:rsidRDefault="00F9342D" w:rsidP="00F93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34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7E9194" w14:textId="77777777" w:rsidR="00F9342D" w:rsidRPr="00F9342D" w:rsidRDefault="00F9342D" w:rsidP="00F9342D"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34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针对各种故障情况提出解决方案，内容完整全面、紧急故障处理措施健全、有针对性的，得3分；</w:t>
            </w:r>
          </w:p>
          <w:p w14:paraId="21A3CD2F" w14:textId="77777777" w:rsidR="00F9342D" w:rsidRPr="00F9342D" w:rsidRDefault="00F9342D" w:rsidP="00F9342D"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34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针对各种故障情况提出解决方案，内容简单、紧急故障处理措施针对性不高的，得2分；</w:t>
            </w:r>
          </w:p>
          <w:p w14:paraId="24034590" w14:textId="77777777" w:rsidR="00F9342D" w:rsidRPr="00F9342D" w:rsidRDefault="00F9342D" w:rsidP="00F9342D"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34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针对各种故障情况提出解决方案，内容简略、紧急故障处理措施表述模糊的，得1分；</w:t>
            </w:r>
          </w:p>
          <w:p w14:paraId="302B10B7" w14:textId="2C9075B6" w:rsidR="00F9342D" w:rsidRPr="0031271F" w:rsidRDefault="00F9342D" w:rsidP="00F9342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934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（4）未提供相应方案的，得0分。</w:t>
            </w:r>
          </w:p>
        </w:tc>
      </w:tr>
      <w:tr w:rsidR="0031271F" w14:paraId="48E7D92D" w14:textId="77777777" w:rsidTr="00C01BB2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D342" w14:textId="77777777" w:rsidR="0031271F" w:rsidRDefault="0031271F" w:rsidP="00C01B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B975AC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供货组织方案、技术保证措施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E43A80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FD9BE9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（1）投标人提供的供货组织方案详细明确、产品安装和调试的主要技术保证措</w:t>
            </w: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施表述完整，切合实际，满足日常工作要求，得3分；</w:t>
            </w:r>
          </w:p>
          <w:p w14:paraId="0F52F870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（2）供货组织方案简略、产品安装和调试的主要技术保证措施表述完整，满足日常工作要求，但可行性不高的，得2分；</w:t>
            </w:r>
          </w:p>
          <w:p w14:paraId="7D119C67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（3）供货组织方案简略、产品安装和调试的主要技术保证措施表述模糊的，得1分；</w:t>
            </w:r>
          </w:p>
          <w:p w14:paraId="25A51373" w14:textId="27AA12B5" w:rsid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（4）未提供相应方案或方案无可操作性，无法满足日常工作要求的，得0分。</w:t>
            </w:r>
          </w:p>
        </w:tc>
      </w:tr>
      <w:tr w:rsidR="0031271F" w14:paraId="47D078AE" w14:textId="77777777" w:rsidTr="00C01BB2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3683F" w14:textId="77777777" w:rsidR="0031271F" w:rsidRDefault="0031271F" w:rsidP="00C01B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42E4A6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培训计划和应用技术支持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4A6AC8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0CE9FD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（1）投标人提供的培训计划和应用技术支持详细科学，培训方案严谨，得3分；</w:t>
            </w:r>
          </w:p>
          <w:p w14:paraId="0A7934D4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（2）投标人提供的培训计划和应用技术支持满足要求的，得2分；</w:t>
            </w:r>
          </w:p>
          <w:p w14:paraId="66EC700A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（3）投标人提供的培训方案简略，培训计划和应用技术支持可行性不高的，得1分；</w:t>
            </w:r>
          </w:p>
          <w:p w14:paraId="6FEF3BA7" w14:textId="1793265C" w:rsid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（4）未进行培训计划和应用技术支持描述的，得0分。</w:t>
            </w:r>
          </w:p>
        </w:tc>
      </w:tr>
      <w:tr w:rsidR="0031271F" w14:paraId="5166E880" w14:textId="77777777" w:rsidTr="00C01BB2">
        <w:trPr>
          <w:jc w:val="center"/>
        </w:trPr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88F3" w14:textId="77777777" w:rsidR="0031271F" w:rsidRDefault="0031271F" w:rsidP="00C01B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3C8EAC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售后服务能力的评价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53A1F66" w14:textId="77777777" w:rsidR="0031271F" w:rsidRDefault="0031271F" w:rsidP="00C01B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7FA27E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根据投标人提供的售后服务机构、售后服务安排、维修的反应速度及售后服务措施等售后服务方案进行打分：</w:t>
            </w:r>
          </w:p>
          <w:p w14:paraId="4C89A1AD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（1）售后服务描述全面、安排合理、维修反应速度快、备品备件充足、售后服务措施得当得5分； </w:t>
            </w:r>
          </w:p>
          <w:p w14:paraId="570C44E2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（2）售后服务方案简略、维修反应满足要求、备品备件充足、售后服务措施得当的，得3分；</w:t>
            </w:r>
          </w:p>
          <w:p w14:paraId="0CBB868B" w14:textId="77777777" w:rsidR="0031271F" w:rsidRP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（3）售后服务安排不合理、维修反应速度慢、备品备件不充足、售后服务措施不得当得1分；</w:t>
            </w:r>
          </w:p>
          <w:p w14:paraId="71D34765" w14:textId="11254051" w:rsidR="0031271F" w:rsidRDefault="0031271F" w:rsidP="0031271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127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（4）未提供售后服务方案的，得 0分。</w:t>
            </w:r>
          </w:p>
        </w:tc>
      </w:tr>
    </w:tbl>
    <w:p w14:paraId="0E54E088" w14:textId="7185C400" w:rsidR="00FF0E9C" w:rsidRDefault="00FF0E9C" w:rsidP="00E45D39">
      <w:pPr>
        <w:spacing w:line="700" w:lineRule="exact"/>
        <w:ind w:firstLineChars="200" w:firstLine="560"/>
        <w:rPr>
          <w:rFonts w:ascii="仿宋_GB2312" w:eastAsia="仿宋_GB2312" w:hAnsi="仿宋" w:cs="Calibri" w:hint="eastAsia"/>
          <w:sz w:val="28"/>
          <w:szCs w:val="28"/>
          <w:u w:color="000000"/>
        </w:rPr>
      </w:pPr>
      <w:r w:rsidRPr="00E45D39">
        <w:rPr>
          <w:rFonts w:ascii="仿宋_GB2312" w:eastAsia="仿宋_GB2312" w:hAnsi="仿宋" w:cs="Calibri" w:hint="eastAsia"/>
          <w:sz w:val="28"/>
          <w:szCs w:val="28"/>
          <w:u w:color="000000"/>
        </w:rPr>
        <w:t>本公告作为</w:t>
      </w:r>
      <w:r w:rsidR="00E719E8" w:rsidRPr="00E45D39">
        <w:rPr>
          <w:rFonts w:ascii="仿宋_GB2312" w:eastAsia="仿宋_GB2312" w:hAnsi="仿宋" w:cs="Calibri" w:hint="eastAsia"/>
          <w:sz w:val="28"/>
          <w:szCs w:val="28"/>
          <w:u w:color="000000"/>
        </w:rPr>
        <w:t>招标</w:t>
      </w:r>
      <w:r w:rsidRPr="00E45D39">
        <w:rPr>
          <w:rFonts w:ascii="仿宋_GB2312" w:eastAsia="仿宋_GB2312" w:hAnsi="仿宋" w:cs="Calibri" w:hint="eastAsia"/>
          <w:sz w:val="28"/>
          <w:szCs w:val="28"/>
          <w:u w:color="000000"/>
        </w:rPr>
        <w:t>文件的组成部分，与</w:t>
      </w:r>
      <w:r w:rsidR="00E719E8" w:rsidRPr="00E45D39">
        <w:rPr>
          <w:rFonts w:ascii="仿宋_GB2312" w:eastAsia="仿宋_GB2312" w:hAnsi="仿宋" w:cs="Calibri" w:hint="eastAsia"/>
          <w:sz w:val="28"/>
          <w:szCs w:val="28"/>
          <w:u w:color="000000"/>
        </w:rPr>
        <w:t>招标</w:t>
      </w:r>
      <w:r w:rsidRPr="00E45D39">
        <w:rPr>
          <w:rFonts w:ascii="仿宋_GB2312" w:eastAsia="仿宋_GB2312" w:hAnsi="仿宋" w:cs="Calibri" w:hint="eastAsia"/>
          <w:sz w:val="28"/>
          <w:szCs w:val="28"/>
          <w:u w:color="000000"/>
        </w:rPr>
        <w:t>文件不一致的部分以本公告为准，</w:t>
      </w:r>
      <w:r w:rsidR="00E719E8" w:rsidRPr="00E45D39">
        <w:rPr>
          <w:rFonts w:ascii="仿宋_GB2312" w:eastAsia="仿宋_GB2312" w:hAnsi="仿宋" w:cs="Calibri" w:hint="eastAsia"/>
          <w:sz w:val="28"/>
          <w:szCs w:val="28"/>
          <w:u w:color="000000"/>
        </w:rPr>
        <w:t>招标</w:t>
      </w:r>
      <w:r w:rsidRPr="00E45D39">
        <w:rPr>
          <w:rFonts w:ascii="仿宋_GB2312" w:eastAsia="仿宋_GB2312" w:hAnsi="仿宋" w:cs="Calibri" w:hint="eastAsia"/>
          <w:sz w:val="28"/>
          <w:szCs w:val="28"/>
          <w:u w:color="000000"/>
        </w:rPr>
        <w:t>文件其它内容不变。</w:t>
      </w:r>
    </w:p>
    <w:p w14:paraId="0E6293D3" w14:textId="77777777" w:rsidR="00C42D99" w:rsidRPr="00C42D99" w:rsidRDefault="00C42D99" w:rsidP="00E45D39">
      <w:pPr>
        <w:spacing w:line="700" w:lineRule="exact"/>
        <w:ind w:firstLineChars="200" w:firstLine="560"/>
        <w:rPr>
          <w:rFonts w:ascii="仿宋_GB2312" w:eastAsia="仿宋_GB2312" w:hAnsi="仿宋" w:cs="Calibri" w:hint="eastAsia"/>
          <w:sz w:val="28"/>
          <w:szCs w:val="28"/>
          <w:u w:color="000000"/>
        </w:rPr>
      </w:pPr>
    </w:p>
    <w:p w14:paraId="6C25DD68" w14:textId="378DCAE8" w:rsidR="001A2E90" w:rsidRDefault="00723654" w:rsidP="00A44D2A">
      <w:pPr>
        <w:widowControl/>
        <w:shd w:val="clear" w:color="auto" w:fill="FFFFFF"/>
        <w:spacing w:line="560" w:lineRule="exact"/>
        <w:ind w:firstLine="480"/>
        <w:jc w:val="right"/>
        <w:rPr>
          <w:rFonts w:ascii="仿宋" w:eastAsia="仿宋" w:hAnsi="仿宋" w:cs="仿宋" w:hint="eastAsia"/>
          <w:kern w:val="0"/>
          <w:sz w:val="28"/>
          <w:szCs w:val="28"/>
        </w:rPr>
      </w:pPr>
      <w:r w:rsidRPr="00A44D2A">
        <w:rPr>
          <w:rFonts w:ascii="仿宋" w:eastAsia="仿宋" w:hAnsi="仿宋" w:cs="仿宋" w:hint="eastAsia"/>
          <w:kern w:val="0"/>
          <w:sz w:val="28"/>
          <w:szCs w:val="28"/>
        </w:rPr>
        <w:t> 202</w:t>
      </w:r>
      <w:r w:rsidR="00C42D99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Pr="00A44D2A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F9342D">
        <w:rPr>
          <w:rFonts w:ascii="仿宋" w:eastAsia="仿宋" w:hAnsi="仿宋" w:cs="仿宋" w:hint="eastAsia"/>
          <w:kern w:val="0"/>
          <w:sz w:val="28"/>
          <w:szCs w:val="28"/>
        </w:rPr>
        <w:t>9</w:t>
      </w:r>
      <w:r w:rsidRPr="00A44D2A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F9342D">
        <w:rPr>
          <w:rFonts w:ascii="仿宋" w:eastAsia="仿宋" w:hAnsi="仿宋" w:cs="仿宋" w:hint="eastAsia"/>
          <w:kern w:val="0"/>
          <w:sz w:val="28"/>
          <w:szCs w:val="28"/>
        </w:rPr>
        <w:t>20</w:t>
      </w:r>
      <w:r w:rsidRPr="00A44D2A"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14:paraId="03BB87F7" w14:textId="3F012DE3" w:rsidR="001A2E90" w:rsidRDefault="001A2E90">
      <w:pPr>
        <w:widowControl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</w:p>
    <w:sectPr w:rsidR="001A2E90" w:rsidSect="00D8147B">
      <w:pgSz w:w="11906" w:h="16838"/>
      <w:pgMar w:top="1701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B0A5D" w14:textId="77777777" w:rsidR="0036283C" w:rsidRDefault="0036283C" w:rsidP="00A44D2A">
      <w:pPr>
        <w:rPr>
          <w:rFonts w:hint="eastAsia"/>
        </w:rPr>
      </w:pPr>
      <w:r>
        <w:separator/>
      </w:r>
    </w:p>
  </w:endnote>
  <w:endnote w:type="continuationSeparator" w:id="0">
    <w:p w14:paraId="2F1657EB" w14:textId="77777777" w:rsidR="0036283C" w:rsidRDefault="0036283C" w:rsidP="00A44D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CD11" w14:textId="77777777" w:rsidR="0036283C" w:rsidRDefault="0036283C" w:rsidP="00A44D2A">
      <w:pPr>
        <w:rPr>
          <w:rFonts w:hint="eastAsia"/>
        </w:rPr>
      </w:pPr>
      <w:r>
        <w:separator/>
      </w:r>
    </w:p>
  </w:footnote>
  <w:footnote w:type="continuationSeparator" w:id="0">
    <w:p w14:paraId="11DFE01B" w14:textId="77777777" w:rsidR="0036283C" w:rsidRDefault="0036283C" w:rsidP="00A44D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3DDF"/>
    <w:multiLevelType w:val="hybridMultilevel"/>
    <w:tmpl w:val="A65A4C7A"/>
    <w:lvl w:ilvl="0" w:tplc="0E2CEAF0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9538F5"/>
    <w:multiLevelType w:val="hybridMultilevel"/>
    <w:tmpl w:val="9252F06A"/>
    <w:lvl w:ilvl="0" w:tplc="E90E5A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EC8543D"/>
    <w:multiLevelType w:val="hybridMultilevel"/>
    <w:tmpl w:val="9348BE54"/>
    <w:lvl w:ilvl="0" w:tplc="2D86BA88">
      <w:start w:val="1"/>
      <w:numFmt w:val="decimal"/>
      <w:lvlText w:val="（%1）"/>
      <w:lvlJc w:val="left"/>
      <w:pPr>
        <w:ind w:left="1280" w:hanging="720"/>
      </w:pPr>
      <w:rPr>
        <w:rFonts w:ascii="仿宋_GB2312" w:eastAsia="仿宋_GB2312" w:cs="Calibr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169C160F"/>
    <w:multiLevelType w:val="hybridMultilevel"/>
    <w:tmpl w:val="7CA08B26"/>
    <w:lvl w:ilvl="0" w:tplc="0D9EE7E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287E2508"/>
    <w:multiLevelType w:val="singleLevel"/>
    <w:tmpl w:val="287E250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 w16cid:durableId="205263545">
    <w:abstractNumId w:val="0"/>
  </w:num>
  <w:num w:numId="2" w16cid:durableId="1571387316">
    <w:abstractNumId w:val="2"/>
  </w:num>
  <w:num w:numId="3" w16cid:durableId="1957515682">
    <w:abstractNumId w:val="3"/>
  </w:num>
  <w:num w:numId="4" w16cid:durableId="23870407">
    <w:abstractNumId w:val="1"/>
  </w:num>
  <w:num w:numId="5" w16cid:durableId="1483111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A8"/>
    <w:rsid w:val="00000111"/>
    <w:rsid w:val="000253E1"/>
    <w:rsid w:val="00066D2A"/>
    <w:rsid w:val="00085430"/>
    <w:rsid w:val="000D1C7D"/>
    <w:rsid w:val="00102095"/>
    <w:rsid w:val="00116E56"/>
    <w:rsid w:val="00180FDB"/>
    <w:rsid w:val="001A2E90"/>
    <w:rsid w:val="00211B59"/>
    <w:rsid w:val="002656E9"/>
    <w:rsid w:val="002C556F"/>
    <w:rsid w:val="0031271F"/>
    <w:rsid w:val="0036283C"/>
    <w:rsid w:val="00377949"/>
    <w:rsid w:val="00392CBA"/>
    <w:rsid w:val="00406D09"/>
    <w:rsid w:val="004554CC"/>
    <w:rsid w:val="00466DF4"/>
    <w:rsid w:val="004709EF"/>
    <w:rsid w:val="00480E69"/>
    <w:rsid w:val="004A7234"/>
    <w:rsid w:val="004B22F7"/>
    <w:rsid w:val="004B5D1A"/>
    <w:rsid w:val="004C7562"/>
    <w:rsid w:val="004D2597"/>
    <w:rsid w:val="00506EF8"/>
    <w:rsid w:val="00511758"/>
    <w:rsid w:val="005270FB"/>
    <w:rsid w:val="005838C0"/>
    <w:rsid w:val="005B06E8"/>
    <w:rsid w:val="00691345"/>
    <w:rsid w:val="00723654"/>
    <w:rsid w:val="00734421"/>
    <w:rsid w:val="007A04A0"/>
    <w:rsid w:val="007D6153"/>
    <w:rsid w:val="007E006C"/>
    <w:rsid w:val="0081594E"/>
    <w:rsid w:val="00840086"/>
    <w:rsid w:val="008842CB"/>
    <w:rsid w:val="009178C1"/>
    <w:rsid w:val="009C2F69"/>
    <w:rsid w:val="00A00DCB"/>
    <w:rsid w:val="00A316E5"/>
    <w:rsid w:val="00A31D6B"/>
    <w:rsid w:val="00A44D2A"/>
    <w:rsid w:val="00A67A2B"/>
    <w:rsid w:val="00B300FE"/>
    <w:rsid w:val="00B45B60"/>
    <w:rsid w:val="00B7687D"/>
    <w:rsid w:val="00BA46E4"/>
    <w:rsid w:val="00BD7DF4"/>
    <w:rsid w:val="00C34BC6"/>
    <w:rsid w:val="00C42D99"/>
    <w:rsid w:val="00C61D89"/>
    <w:rsid w:val="00C85BD0"/>
    <w:rsid w:val="00C85C83"/>
    <w:rsid w:val="00CB5FA8"/>
    <w:rsid w:val="00D27BA4"/>
    <w:rsid w:val="00D30A1E"/>
    <w:rsid w:val="00D8147B"/>
    <w:rsid w:val="00DD2708"/>
    <w:rsid w:val="00E174EC"/>
    <w:rsid w:val="00E22801"/>
    <w:rsid w:val="00E45D39"/>
    <w:rsid w:val="00E719E8"/>
    <w:rsid w:val="00E77063"/>
    <w:rsid w:val="00E835AE"/>
    <w:rsid w:val="00F9342D"/>
    <w:rsid w:val="00FA4DF1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22D82"/>
  <w15:chartTrackingRefBased/>
  <w15:docId w15:val="{5E437E35-128F-45AF-9B01-76D24627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A"/>
    <w:pPr>
      <w:ind w:firstLineChars="200" w:firstLine="420"/>
    </w:p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4"/>
    <w:rsid w:val="00066D2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066D2A"/>
    <w:rPr>
      <w:rFonts w:ascii="Microsoft YaHei UI" w:eastAsia="Microsoft YaHei UI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066D2A"/>
    <w:rPr>
      <w:rFonts w:ascii="Microsoft YaHei UI" w:eastAsia="Microsoft YaHei UI"/>
      <w:sz w:val="18"/>
      <w:szCs w:val="18"/>
    </w:rPr>
  </w:style>
  <w:style w:type="paragraph" w:styleId="a6">
    <w:name w:val="Body Text"/>
    <w:basedOn w:val="a"/>
    <w:link w:val="a7"/>
    <w:uiPriority w:val="99"/>
    <w:unhideWhenUsed/>
    <w:qFormat/>
    <w:rsid w:val="0072365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7">
    <w:name w:val="正文文本 字符"/>
    <w:basedOn w:val="a0"/>
    <w:link w:val="a6"/>
    <w:uiPriority w:val="99"/>
    <w:rsid w:val="00723654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4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44D2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44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44D2A"/>
    <w:rPr>
      <w:sz w:val="18"/>
      <w:szCs w:val="18"/>
    </w:rPr>
  </w:style>
  <w:style w:type="character" w:customStyle="1" w:styleId="ac">
    <w:name w:val="楷体 (中文) 楷体"/>
    <w:qFormat/>
    <w:rsid w:val="00A00DCB"/>
    <w:rPr>
      <w:rFonts w:ascii="楷体" w:eastAsia="楷体" w:hAnsi="楷体"/>
      <w:kern w:val="1"/>
      <w:sz w:val="28"/>
    </w:rPr>
  </w:style>
  <w:style w:type="character" w:customStyle="1" w:styleId="NormalCharacter">
    <w:name w:val="NormalCharacter"/>
    <w:qFormat/>
    <w:rsid w:val="00A00DCB"/>
    <w:rPr>
      <w:rFonts w:ascii="Calibri" w:eastAsia="宋体" w:hAnsi="Calibri"/>
    </w:rPr>
  </w:style>
  <w:style w:type="table" w:styleId="ad">
    <w:name w:val="Table Grid"/>
    <w:basedOn w:val="a1"/>
    <w:qFormat/>
    <w:rsid w:val="00E719E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山东中青汇采招标</dc:creator>
  <cp:keywords/>
  <dc:description/>
  <cp:lastModifiedBy>15866823917@139.com</cp:lastModifiedBy>
  <cp:revision>39</cp:revision>
  <cp:lastPrinted>2021-05-13T07:53:00Z</cp:lastPrinted>
  <dcterms:created xsi:type="dcterms:W3CDTF">2021-05-12T09:08:00Z</dcterms:created>
  <dcterms:modified xsi:type="dcterms:W3CDTF">2024-09-20T04:24:00Z</dcterms:modified>
</cp:coreProperties>
</file>