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5C" w:rsidRPr="00C35A5C" w:rsidRDefault="00C35A5C" w:rsidP="00C35A5C">
      <w:pPr>
        <w:widowControl/>
        <w:shd w:val="clear" w:color="auto" w:fill="FFFFFF"/>
        <w:spacing w:line="600" w:lineRule="atLeast"/>
        <w:ind w:rightChars="-162" w:right="-340"/>
        <w:jc w:val="center"/>
        <w:rPr>
          <w:rFonts w:ascii="微软雅黑" w:eastAsia="微软雅黑" w:hAnsi="微软雅黑" w:cs="宋体"/>
          <w:b/>
          <w:bCs/>
          <w:kern w:val="0"/>
          <w:sz w:val="28"/>
          <w:szCs w:val="28"/>
        </w:rPr>
      </w:pPr>
      <w:bookmarkStart w:id="0" w:name="_GoBack"/>
      <w:r w:rsidRPr="00C35A5C">
        <w:rPr>
          <w:rFonts w:ascii="微软雅黑" w:eastAsia="微软雅黑" w:hAnsi="微软雅黑" w:cs="宋体" w:hint="eastAsia"/>
          <w:b/>
          <w:bCs/>
          <w:kern w:val="0"/>
          <w:sz w:val="28"/>
          <w:szCs w:val="28"/>
        </w:rPr>
        <w:t>北京大学人民医院青岛医院电梯运维服务采购项目三次招标中标公告</w:t>
      </w:r>
    </w:p>
    <w:tbl>
      <w:tblPr>
        <w:tblW w:w="9072" w:type="dxa"/>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1627"/>
        <w:gridCol w:w="2891"/>
        <w:gridCol w:w="1627"/>
        <w:gridCol w:w="2892"/>
        <w:gridCol w:w="14"/>
        <w:gridCol w:w="21"/>
      </w:tblGrid>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bookmarkEnd w:id="0"/>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一、项目名称：</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北京大学人民医院青岛医院电梯运维服务采购项目三次招标</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二、项目编号：</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SDGP370200000202402001335</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三、分包名称：</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无分包 电梯运维服务</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四、招标公告发布日期:</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2024-10-12</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五、开标时间:</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2024-11-04 14:00</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六、采购方式:</w:t>
            </w:r>
          </w:p>
        </w:tc>
        <w:tc>
          <w:tcPr>
            <w:tcW w:w="0" w:type="auto"/>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分散采购 服务类</w:t>
            </w:r>
          </w:p>
        </w:tc>
      </w:tr>
      <w:tr w:rsidR="00C35A5C" w:rsidRPr="00C35A5C" w:rsidTr="00C35A5C">
        <w:trPr>
          <w:gridAfter w:val="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七、中标情况：</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中标人（公司名称）：</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青岛海博机械设备工程有限公司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中标金额（元/优惠率）：</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356160</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中标人地址：</w:t>
            </w:r>
          </w:p>
        </w:tc>
        <w:tc>
          <w:tcPr>
            <w:tcW w:w="16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青岛市市北区敦化28号</w:t>
            </w:r>
          </w:p>
        </w:tc>
      </w:tr>
      <w:tr w:rsidR="00C35A5C" w:rsidRPr="00C35A5C" w:rsidTr="00C35A5C">
        <w:trPr>
          <w:gridAfter w:val="2"/>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八、评标委员会成员名单：</w:t>
            </w:r>
          </w:p>
        </w:tc>
        <w:tc>
          <w:tcPr>
            <w:tcW w:w="16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roofErr w:type="gramStart"/>
            <w:r w:rsidRPr="00C35A5C">
              <w:rPr>
                <w:rFonts w:ascii="宋体" w:eastAsia="宋体" w:hAnsi="宋体" w:cs="宋体" w:hint="eastAsia"/>
                <w:color w:val="333333"/>
                <w:kern w:val="0"/>
                <w:sz w:val="18"/>
                <w:szCs w:val="18"/>
              </w:rPr>
              <w:t>徐子森</w:t>
            </w:r>
            <w:proofErr w:type="gramEnd"/>
            <w:r w:rsidRPr="00C35A5C">
              <w:rPr>
                <w:rFonts w:ascii="宋体" w:eastAsia="宋体" w:hAnsi="宋体" w:cs="宋体" w:hint="eastAsia"/>
                <w:color w:val="333333"/>
                <w:kern w:val="0"/>
                <w:sz w:val="18"/>
                <w:szCs w:val="18"/>
              </w:rPr>
              <w:t>, 宫本芳, 李明杰, 周丽萍, 陈增辉</w:t>
            </w:r>
          </w:p>
        </w:tc>
      </w:tr>
      <w:tr w:rsidR="00C35A5C" w:rsidRPr="00C35A5C" w:rsidTr="00C35A5C">
        <w:trPr>
          <w:gridAfter w:val="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主要中标或者成交标的信息表</w:t>
            </w: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1001"/>
              <w:gridCol w:w="588"/>
              <w:gridCol w:w="486"/>
              <w:gridCol w:w="486"/>
              <w:gridCol w:w="3344"/>
              <w:gridCol w:w="1695"/>
              <w:gridCol w:w="1322"/>
            </w:tblGrid>
            <w:tr w:rsidR="00C35A5C" w:rsidRPr="00C35A5C">
              <w:trPr>
                <w:gridAfter w:val="6"/>
                <w:jc w:val="center"/>
              </w:trPr>
              <w:tc>
                <w:tcPr>
                  <w:tcW w:w="0" w:type="auto"/>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b/>
                      <w:bCs/>
                      <w:kern w:val="0"/>
                      <w:sz w:val="18"/>
                      <w:szCs w:val="18"/>
                    </w:rPr>
                    <w:t>企业名称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服务范围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服务要求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服务时间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服务标准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报价(元)/费率</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电梯运维服务</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详见文件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详见文件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服务期限一年，服务期满后，采购人可根据相关政策以及上一年度考核情况决定是否与中标单位续签，服务期限最多不超过三年。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按照招标文件附件 1：电梯运维服务质量考核标准执行。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356160.000000</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t>资格审查符合性评审结果</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hyperlink r:id="rId4" w:history="1">
              <w:r w:rsidRPr="00C35A5C">
                <w:rPr>
                  <w:rFonts w:ascii="微软雅黑" w:eastAsia="微软雅黑" w:hAnsi="微软雅黑" w:cs="宋体" w:hint="eastAsia"/>
                  <w:b/>
                  <w:bCs/>
                  <w:color w:val="3E3E3E"/>
                  <w:kern w:val="0"/>
                  <w:szCs w:val="21"/>
                </w:rPr>
                <w:t>资格审查/符合性审查结果汇总表</w:t>
              </w:r>
            </w:hyperlink>
          </w:p>
          <w:tbl>
            <w:tblPr>
              <w:tblW w:w="5000" w:type="pct"/>
              <w:jc w:val="center"/>
              <w:tblCellMar>
                <w:left w:w="0" w:type="dxa"/>
                <w:right w:w="0" w:type="dxa"/>
              </w:tblCellMar>
              <w:tblLook w:val="04A0" w:firstRow="1" w:lastRow="0" w:firstColumn="1" w:lastColumn="0" w:noHBand="0" w:noVBand="1"/>
            </w:tblPr>
            <w:tblGrid>
              <w:gridCol w:w="448"/>
              <w:gridCol w:w="1830"/>
              <w:gridCol w:w="794"/>
              <w:gridCol w:w="678"/>
              <w:gridCol w:w="5156"/>
            </w:tblGrid>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投标人名称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项目负责人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审查结果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不通过原因</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江苏德升机电设备有限公司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王洪喜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青岛通力达电梯工程有限公司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青岛亨镇涛科技有限公司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青岛华东顺达机电有限公司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青岛西奥电梯工程有限公司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青岛尚昇机电有限公司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未通过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资格审查详细评审不合格: 法定代表人授权委托书(专家五):法人代表人授权书无法人身份证。;</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山东通汇电梯工程有限公司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kern w:val="0"/>
                      <w:sz w:val="18"/>
                      <w:szCs w:val="18"/>
                    </w:rPr>
                    <w:t>未通过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资格审查详细评审不合格: 中小企业声明函(专家五):中小企业</w:t>
                  </w:r>
                  <w:proofErr w:type="gramStart"/>
                  <w:r w:rsidRPr="00C35A5C">
                    <w:rPr>
                      <w:rFonts w:ascii="宋体" w:eastAsia="宋体" w:hAnsi="宋体" w:cs="宋体" w:hint="eastAsia"/>
                      <w:kern w:val="0"/>
                      <w:sz w:val="18"/>
                      <w:szCs w:val="18"/>
                    </w:rPr>
                    <w:t>声明函未按</w:t>
                  </w:r>
                  <w:proofErr w:type="gramEnd"/>
                  <w:r w:rsidRPr="00C35A5C">
                    <w:rPr>
                      <w:rFonts w:ascii="宋体" w:eastAsia="宋体" w:hAnsi="宋体" w:cs="宋体" w:hint="eastAsia"/>
                      <w:kern w:val="0"/>
                      <w:sz w:val="18"/>
                      <w:szCs w:val="18"/>
                    </w:rPr>
                    <w:t>要求提供。;</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lastRenderedPageBreak/>
              <w:t>评审结果</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414"/>
              <w:gridCol w:w="1402"/>
              <w:gridCol w:w="953"/>
              <w:gridCol w:w="953"/>
              <w:gridCol w:w="953"/>
              <w:gridCol w:w="953"/>
              <w:gridCol w:w="953"/>
              <w:gridCol w:w="808"/>
              <w:gridCol w:w="808"/>
              <w:gridCol w:w="725"/>
            </w:tblGrid>
            <w:tr w:rsidR="00C35A5C" w:rsidRPr="00C35A5C">
              <w:trPr>
                <w:gridAfter w:val="9"/>
                <w:jc w:val="center"/>
              </w:trPr>
              <w:tc>
                <w:tcPr>
                  <w:tcW w:w="0" w:type="auto"/>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kern w:val="0"/>
                      <w:sz w:val="18"/>
                      <w:szCs w:val="18"/>
                    </w:rPr>
                  </w:pPr>
                  <w:r w:rsidRPr="00C35A5C">
                    <w:rPr>
                      <w:rFonts w:ascii="宋体" w:eastAsia="宋体" w:hAnsi="宋体" w:cs="宋体" w:hint="eastAsia"/>
                      <w:b/>
                      <w:bCs/>
                      <w:kern w:val="0"/>
                      <w:sz w:val="18"/>
                      <w:szCs w:val="18"/>
                    </w:rPr>
                    <w:t>排序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评委1(技术标)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评委2(技术标)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评委3(技术标)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评委4(技术标)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评委5(技术标)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技术标得分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商务标得分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b/>
                      <w:bCs/>
                      <w:kern w:val="0"/>
                      <w:sz w:val="18"/>
                      <w:szCs w:val="18"/>
                    </w:rPr>
                    <w:t>综合得分</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72.50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71.00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19.85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89.35</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青岛华东顺达机电有限公司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17.88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79.88</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青岛西奥电梯工程有限公司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60.50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74.90</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青岛亨镇涛科技有限公司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17.75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72.15</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江苏德升机电设备有限公司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13.85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64.15</w:t>
                  </w:r>
                </w:p>
              </w:tc>
            </w:tr>
            <w:tr w:rsidR="00C35A5C" w:rsidRP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青岛通力达电梯工程有限公司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38.00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45.60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12.73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58.33</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t>供应商未中标原因</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hyperlink r:id="rId5" w:history="1">
              <w:r w:rsidRPr="00C35A5C">
                <w:rPr>
                  <w:rFonts w:ascii="微软雅黑" w:eastAsia="微软雅黑" w:hAnsi="微软雅黑" w:cs="宋体" w:hint="eastAsia"/>
                  <w:b/>
                  <w:bCs/>
                  <w:color w:val="3E3E3E"/>
                  <w:kern w:val="0"/>
                  <w:szCs w:val="21"/>
                </w:rPr>
                <w:t>未中标原因</w:t>
              </w:r>
            </w:hyperlink>
          </w:p>
          <w:tbl>
            <w:tblPr>
              <w:tblW w:w="5000" w:type="pct"/>
              <w:jc w:val="center"/>
              <w:tblCellMar>
                <w:left w:w="0" w:type="dxa"/>
                <w:right w:w="0" w:type="dxa"/>
              </w:tblCellMar>
              <w:tblLook w:val="04A0" w:firstRow="1" w:lastRow="0" w:firstColumn="1" w:lastColumn="0" w:noHBand="0" w:noVBand="1"/>
            </w:tblPr>
            <w:tblGrid>
              <w:gridCol w:w="1078"/>
              <w:gridCol w:w="5240"/>
              <w:gridCol w:w="2588"/>
            </w:tblGrid>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未中标原因</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江苏德升机电设备有限公司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评审得分较低</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青岛通力达电梯工程有限公司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评审得分较低</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青岛亨镇涛科技有限公司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评审得分较低</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青岛华东顺达机电有限公司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评审得分较低</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青岛西奥电梯工程有限公司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评审得分较低</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t>报价公示</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hyperlink r:id="rId6" w:history="1">
              <w:r w:rsidRPr="00C35A5C">
                <w:rPr>
                  <w:rFonts w:ascii="微软雅黑" w:eastAsia="微软雅黑" w:hAnsi="微软雅黑" w:cs="宋体" w:hint="eastAsia"/>
                  <w:b/>
                  <w:bCs/>
                  <w:color w:val="3E3E3E"/>
                  <w:kern w:val="0"/>
                  <w:szCs w:val="21"/>
                </w:rPr>
                <w:t>报价表</w:t>
              </w:r>
            </w:hyperlink>
          </w:p>
          <w:tbl>
            <w:tblPr>
              <w:tblW w:w="5000" w:type="pct"/>
              <w:jc w:val="center"/>
              <w:tblCellMar>
                <w:left w:w="0" w:type="dxa"/>
                <w:right w:w="0" w:type="dxa"/>
              </w:tblCellMar>
              <w:tblLook w:val="04A0" w:firstRow="1" w:lastRow="0" w:firstColumn="1" w:lastColumn="0" w:noHBand="0" w:noVBand="1"/>
            </w:tblPr>
            <w:tblGrid>
              <w:gridCol w:w="992"/>
              <w:gridCol w:w="5173"/>
              <w:gridCol w:w="2741"/>
            </w:tblGrid>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投标单位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投标报价（元）</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江苏德升机电设备有限公司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356160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356160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青岛尚昇机电有限公司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340000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青岛通力达电梯工程有限公司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360440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青岛亨镇涛科技有限公司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360000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青岛华东顺达机电有限公司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355000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青岛西奥电梯工程有限公司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350860</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kern w:val="0"/>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山东通汇电梯工程有限公司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right"/>
                    <w:rPr>
                      <w:rFonts w:ascii="宋体" w:eastAsia="宋体" w:hAnsi="宋体" w:cs="宋体" w:hint="eastAsia"/>
                      <w:kern w:val="0"/>
                      <w:sz w:val="18"/>
                      <w:szCs w:val="18"/>
                    </w:rPr>
                  </w:pPr>
                  <w:r w:rsidRPr="00C35A5C">
                    <w:rPr>
                      <w:rFonts w:ascii="宋体" w:eastAsia="宋体" w:hAnsi="宋体" w:cs="宋体" w:hint="eastAsia"/>
                      <w:kern w:val="0"/>
                      <w:sz w:val="18"/>
                      <w:szCs w:val="18"/>
                    </w:rPr>
                    <w:t>330000</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t>业绩公示</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hyperlink r:id="rId7" w:history="1">
              <w:r w:rsidRPr="00C35A5C">
                <w:rPr>
                  <w:rFonts w:ascii="微软雅黑" w:eastAsia="微软雅黑" w:hAnsi="微软雅黑" w:cs="宋体" w:hint="eastAsia"/>
                  <w:b/>
                  <w:bCs/>
                  <w:color w:val="3E3E3E"/>
                  <w:kern w:val="0"/>
                  <w:szCs w:val="21"/>
                </w:rPr>
                <w:t>企业业绩</w:t>
              </w:r>
            </w:hyperlink>
          </w:p>
          <w:tbl>
            <w:tblPr>
              <w:tblW w:w="5000" w:type="pct"/>
              <w:jc w:val="center"/>
              <w:tblCellMar>
                <w:left w:w="0" w:type="dxa"/>
                <w:right w:w="0" w:type="dxa"/>
              </w:tblCellMar>
              <w:tblLook w:val="04A0" w:firstRow="1" w:lastRow="0" w:firstColumn="1" w:lastColumn="0" w:noHBand="0" w:noVBand="1"/>
            </w:tblPr>
            <w:tblGrid>
              <w:gridCol w:w="817"/>
              <w:gridCol w:w="5839"/>
              <w:gridCol w:w="2250"/>
            </w:tblGrid>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项目名称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详细信息</w:t>
                  </w:r>
                </w:p>
              </w:tc>
            </w:tr>
            <w:tr w:rsidR="00C35A5C" w:rsidRPr="00C35A5C" w:rsidTr="00C35A5C">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青岛市中心医院</w:t>
                  </w:r>
                  <w:proofErr w:type="gramStart"/>
                  <w:r w:rsidRPr="00C35A5C">
                    <w:rPr>
                      <w:rFonts w:ascii="宋体" w:eastAsia="宋体" w:hAnsi="宋体" w:cs="宋体" w:hint="eastAsia"/>
                      <w:kern w:val="0"/>
                      <w:sz w:val="18"/>
                      <w:szCs w:val="18"/>
                    </w:rPr>
                    <w:t>电梯维保服务</w:t>
                  </w:r>
                  <w:proofErr w:type="gramEnd"/>
                  <w:r w:rsidRPr="00C35A5C">
                    <w:rPr>
                      <w:rFonts w:ascii="宋体" w:eastAsia="宋体" w:hAnsi="宋体" w:cs="宋体" w:hint="eastAsia"/>
                      <w:kern w:val="0"/>
                      <w:sz w:val="18"/>
                      <w:szCs w:val="18"/>
                    </w:rPr>
                    <w:t>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8" w:tgtFrame="_blank" w:history="1">
                    <w:r w:rsidRPr="00C35A5C">
                      <w:rPr>
                        <w:rFonts w:ascii="微软雅黑" w:eastAsia="微软雅黑" w:hAnsi="微软雅黑" w:cs="宋体" w:hint="eastAsia"/>
                        <w:color w:val="3E3E3E"/>
                        <w:kern w:val="0"/>
                        <w:szCs w:val="21"/>
                      </w:rPr>
                      <w:t>查看详细信息</w:t>
                    </w:r>
                  </w:hyperlink>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青岛大学附属医院服务类项目130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9" w:tgtFrame="_blank" w:history="1">
                    <w:r w:rsidRPr="00C35A5C">
                      <w:rPr>
                        <w:rFonts w:ascii="微软雅黑" w:eastAsia="微软雅黑" w:hAnsi="微软雅黑" w:cs="宋体" w:hint="eastAsia"/>
                        <w:color w:val="3E3E3E"/>
                        <w:kern w:val="0"/>
                        <w:szCs w:val="21"/>
                      </w:rPr>
                      <w:t>查看详细信息</w:t>
                    </w:r>
                  </w:hyperlink>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青岛大学附属医院(平度）</w:t>
                  </w:r>
                  <w:proofErr w:type="gramStart"/>
                  <w:r w:rsidRPr="00C35A5C">
                    <w:rPr>
                      <w:rFonts w:ascii="宋体" w:eastAsia="宋体" w:hAnsi="宋体" w:cs="宋体" w:hint="eastAsia"/>
                      <w:kern w:val="0"/>
                      <w:sz w:val="18"/>
                      <w:szCs w:val="18"/>
                    </w:rPr>
                    <w:t>电梯维保服务</w:t>
                  </w:r>
                  <w:proofErr w:type="gramEnd"/>
                  <w:r w:rsidRPr="00C35A5C">
                    <w:rPr>
                      <w:rFonts w:ascii="宋体" w:eastAsia="宋体" w:hAnsi="宋体" w:cs="宋体" w:hint="eastAsia"/>
                      <w:kern w:val="0"/>
                      <w:sz w:val="18"/>
                      <w:szCs w:val="18"/>
                    </w:rPr>
                    <w:t>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10" w:tgtFrame="_blank" w:history="1">
                    <w:r w:rsidRPr="00C35A5C">
                      <w:rPr>
                        <w:rFonts w:ascii="微软雅黑" w:eastAsia="微软雅黑" w:hAnsi="微软雅黑" w:cs="宋体" w:hint="eastAsia"/>
                        <w:color w:val="3E3E3E"/>
                        <w:kern w:val="0"/>
                        <w:szCs w:val="21"/>
                      </w:rPr>
                      <w:t>查看详细信息</w:t>
                    </w:r>
                  </w:hyperlink>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青岛大学附属医院服务类项目招标1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11" w:tgtFrame="_blank" w:history="1">
                    <w:r w:rsidRPr="00C35A5C">
                      <w:rPr>
                        <w:rFonts w:ascii="微软雅黑" w:eastAsia="微软雅黑" w:hAnsi="微软雅黑" w:cs="宋体" w:hint="eastAsia"/>
                        <w:color w:val="3E3E3E"/>
                        <w:kern w:val="0"/>
                        <w:szCs w:val="21"/>
                      </w:rPr>
                      <w:t>查看详细信息</w:t>
                    </w:r>
                  </w:hyperlink>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电梯日常维护保养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12" w:tgtFrame="_blank" w:history="1">
                    <w:r w:rsidRPr="00C35A5C">
                      <w:rPr>
                        <w:rFonts w:ascii="微软雅黑" w:eastAsia="微软雅黑" w:hAnsi="微软雅黑" w:cs="宋体" w:hint="eastAsia"/>
                        <w:color w:val="3E3E3E"/>
                        <w:kern w:val="0"/>
                        <w:szCs w:val="21"/>
                      </w:rPr>
                      <w:t>查看详细信息</w:t>
                    </w:r>
                  </w:hyperlink>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青岛大学附属医院服务类项目招标2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hyperlink r:id="rId13" w:tgtFrame="_blank" w:history="1">
                    <w:r w:rsidRPr="00C35A5C">
                      <w:rPr>
                        <w:rFonts w:ascii="微软雅黑" w:eastAsia="微软雅黑" w:hAnsi="微软雅黑" w:cs="宋体" w:hint="eastAsia"/>
                        <w:color w:val="3E3E3E"/>
                        <w:kern w:val="0"/>
                        <w:szCs w:val="21"/>
                      </w:rPr>
                      <w:t>查看详细信息</w:t>
                    </w:r>
                  </w:hyperlink>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lastRenderedPageBreak/>
              <w:t>获奖公示</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hyperlink r:id="rId14" w:history="1">
              <w:r w:rsidRPr="00C35A5C">
                <w:rPr>
                  <w:rFonts w:ascii="微软雅黑" w:eastAsia="微软雅黑" w:hAnsi="微软雅黑" w:cs="宋体" w:hint="eastAsia"/>
                  <w:b/>
                  <w:bCs/>
                  <w:color w:val="3E3E3E"/>
                  <w:kern w:val="0"/>
                  <w:szCs w:val="21"/>
                </w:rPr>
                <w:t>企业荣誉</w:t>
              </w:r>
            </w:hyperlink>
          </w:p>
          <w:tbl>
            <w:tblPr>
              <w:tblW w:w="5000" w:type="pct"/>
              <w:jc w:val="center"/>
              <w:tblCellMar>
                <w:left w:w="0" w:type="dxa"/>
                <w:right w:w="0" w:type="dxa"/>
              </w:tblCellMar>
              <w:tblLook w:val="04A0" w:firstRow="1" w:lastRow="0" w:firstColumn="1" w:lastColumn="0" w:noHBand="0" w:noVBand="1"/>
            </w:tblPr>
            <w:tblGrid>
              <w:gridCol w:w="984"/>
              <w:gridCol w:w="5560"/>
              <w:gridCol w:w="2362"/>
            </w:tblGrid>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获奖名称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center"/>
                    <w:rPr>
                      <w:rFonts w:ascii="宋体" w:eastAsia="宋体" w:hAnsi="宋体" w:cs="宋体" w:hint="eastAsia"/>
                      <w:kern w:val="0"/>
                      <w:sz w:val="18"/>
                      <w:szCs w:val="18"/>
                    </w:rPr>
                  </w:pPr>
                  <w:r w:rsidRPr="00C35A5C">
                    <w:rPr>
                      <w:rFonts w:ascii="宋体" w:eastAsia="宋体" w:hAnsi="宋体" w:cs="宋体" w:hint="eastAsia"/>
                      <w:b/>
                      <w:bCs/>
                      <w:kern w:val="0"/>
                      <w:sz w:val="18"/>
                      <w:szCs w:val="18"/>
                    </w:rPr>
                    <w:t>详细信息</w:t>
                  </w:r>
                </w:p>
              </w:tc>
            </w:tr>
            <w:tr w:rsidR="00C35A5C" w:rsidRPr="00C35A5C" w:rsidTr="00C35A5C">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青岛海博机械设备工程有限公司</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2023年度后勤外包服务单位优胜奖</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查看详细信息</w:t>
                  </w:r>
                </w:p>
              </w:tc>
            </w:tr>
            <w:tr w:rsidR="00C35A5C" w:rsidRPr="00C35A5C" w:rsidTr="00C35A5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2021年度后勤外包服务单位优胜奖</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35A5C" w:rsidRPr="00C35A5C" w:rsidRDefault="00C35A5C" w:rsidP="00C35A5C">
                  <w:pPr>
                    <w:widowControl/>
                    <w:spacing w:line="330" w:lineRule="atLeast"/>
                    <w:jc w:val="left"/>
                    <w:rPr>
                      <w:rFonts w:ascii="宋体" w:eastAsia="宋体" w:hAnsi="宋体" w:cs="宋体" w:hint="eastAsia"/>
                      <w:kern w:val="0"/>
                      <w:sz w:val="18"/>
                      <w:szCs w:val="18"/>
                    </w:rPr>
                  </w:pPr>
                  <w:r w:rsidRPr="00C35A5C">
                    <w:rPr>
                      <w:rFonts w:ascii="宋体" w:eastAsia="宋体" w:hAnsi="宋体" w:cs="宋体" w:hint="eastAsia"/>
                      <w:kern w:val="0"/>
                      <w:sz w:val="18"/>
                      <w:szCs w:val="18"/>
                    </w:rPr>
                    <w:t>查看详细信息</w:t>
                  </w:r>
                </w:p>
              </w:tc>
            </w:tr>
          </w:tbl>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color w:val="094176"/>
                <w:kern w:val="0"/>
                <w:sz w:val="18"/>
                <w:szCs w:val="18"/>
              </w:rPr>
            </w:pPr>
            <w:r w:rsidRPr="00C35A5C">
              <w:rPr>
                <w:rFonts w:ascii="宋体" w:eastAsia="宋体" w:hAnsi="宋体" w:cs="宋体" w:hint="eastAsia"/>
                <w:b/>
                <w:bCs/>
                <w:color w:val="094176"/>
                <w:kern w:val="0"/>
                <w:sz w:val="18"/>
                <w:szCs w:val="18"/>
              </w:rPr>
              <w:t>九、联系方式：</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采购人: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北京大学人民医院青岛医院</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地址：</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青岛市</w:t>
            </w:r>
            <w:proofErr w:type="gramStart"/>
            <w:r w:rsidRPr="00C35A5C">
              <w:rPr>
                <w:rFonts w:ascii="宋体" w:eastAsia="宋体" w:hAnsi="宋体" w:cs="宋体" w:hint="eastAsia"/>
                <w:color w:val="333333"/>
                <w:kern w:val="0"/>
                <w:sz w:val="18"/>
                <w:szCs w:val="18"/>
              </w:rPr>
              <w:t>城阳区锦盛一路</w:t>
            </w:r>
            <w:proofErr w:type="gramEnd"/>
            <w:r w:rsidRPr="00C35A5C">
              <w:rPr>
                <w:rFonts w:ascii="宋体" w:eastAsia="宋体" w:hAnsi="宋体" w:cs="宋体" w:hint="eastAsia"/>
                <w:color w:val="333333"/>
                <w:kern w:val="0"/>
                <w:sz w:val="18"/>
                <w:szCs w:val="18"/>
              </w:rPr>
              <w:t>7号</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朱老师</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联系方式：</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0532-68661101</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代理机构：</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山东金卫医药信息有限公司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地址：</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济南市历城区凤凰路与旅游路交叉口东南角院内一楼</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张立铭、孙毅</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联系方式：</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18653147025</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公告期限</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2024-11-5 - 2024-11-6</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十、代理费</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标准：</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详见招标文件</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r w:rsidR="00C35A5C" w:rsidRPr="00C35A5C" w:rsidTr="00C35A5C">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094176"/>
                <w:kern w:val="0"/>
                <w:sz w:val="18"/>
                <w:szCs w:val="18"/>
              </w:rPr>
            </w:pPr>
            <w:r w:rsidRPr="00C35A5C">
              <w:rPr>
                <w:rFonts w:ascii="宋体" w:eastAsia="宋体" w:hAnsi="宋体" w:cs="宋体" w:hint="eastAsia"/>
                <w:b/>
                <w:bCs/>
                <w:color w:val="094176"/>
                <w:kern w:val="0"/>
                <w:sz w:val="18"/>
                <w:szCs w:val="18"/>
              </w:rPr>
              <w:t>金额（万元）：</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rsidR="00C35A5C" w:rsidRPr="00C35A5C" w:rsidRDefault="00C35A5C" w:rsidP="00C35A5C">
            <w:pPr>
              <w:widowControl/>
              <w:wordWrap w:val="0"/>
              <w:spacing w:line="330" w:lineRule="atLeast"/>
              <w:jc w:val="left"/>
              <w:rPr>
                <w:rFonts w:ascii="宋体" w:eastAsia="宋体" w:hAnsi="宋体" w:cs="宋体" w:hint="eastAsia"/>
                <w:color w:val="333333"/>
                <w:kern w:val="0"/>
                <w:sz w:val="18"/>
                <w:szCs w:val="18"/>
              </w:rPr>
            </w:pPr>
            <w:r w:rsidRPr="00C35A5C">
              <w:rPr>
                <w:rFonts w:ascii="宋体" w:eastAsia="宋体" w:hAnsi="宋体" w:cs="宋体" w:hint="eastAsia"/>
                <w:color w:val="333333"/>
                <w:kern w:val="0"/>
                <w:sz w:val="18"/>
                <w:szCs w:val="18"/>
              </w:rPr>
              <w:t>0.53424</w:t>
            </w: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C35A5C" w:rsidRPr="00C35A5C" w:rsidRDefault="00C35A5C" w:rsidP="00C35A5C">
            <w:pPr>
              <w:widowControl/>
              <w:wordWrap w:val="0"/>
              <w:jc w:val="left"/>
              <w:rPr>
                <w:rFonts w:ascii="Times New Roman" w:eastAsia="Times New Roman" w:hAnsi="Times New Roman" w:cs="Times New Roman"/>
                <w:kern w:val="0"/>
                <w:sz w:val="20"/>
                <w:szCs w:val="20"/>
              </w:rPr>
            </w:pPr>
          </w:p>
        </w:tc>
      </w:tr>
    </w:tbl>
    <w:p w:rsidR="00BE6F81" w:rsidRDefault="00BE6F81"/>
    <w:sectPr w:rsidR="00BE6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57"/>
    <w:rsid w:val="00376E57"/>
    <w:rsid w:val="00BE6F81"/>
    <w:rsid w:val="00C3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D1B18-BB89-40C3-8BF8-BEFDEDE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5A5C"/>
    <w:rPr>
      <w:b/>
      <w:bCs/>
    </w:rPr>
  </w:style>
  <w:style w:type="character" w:styleId="a4">
    <w:name w:val="Hyperlink"/>
    <w:basedOn w:val="a0"/>
    <w:uiPriority w:val="99"/>
    <w:semiHidden/>
    <w:unhideWhenUsed/>
    <w:rsid w:val="00C35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86247">
      <w:bodyDiv w:val="1"/>
      <w:marLeft w:val="0"/>
      <w:marRight w:val="0"/>
      <w:marTop w:val="0"/>
      <w:marBottom w:val="0"/>
      <w:divBdr>
        <w:top w:val="none" w:sz="0" w:space="0" w:color="auto"/>
        <w:left w:val="none" w:sz="0" w:space="0" w:color="auto"/>
        <w:bottom w:val="none" w:sz="0" w:space="0" w:color="auto"/>
        <w:right w:val="none" w:sz="0" w:space="0" w:color="auto"/>
      </w:divBdr>
      <w:divsChild>
        <w:div w:id="54088078">
          <w:marLeft w:val="0"/>
          <w:marRight w:val="0"/>
          <w:marTop w:val="150"/>
          <w:marBottom w:val="0"/>
          <w:divBdr>
            <w:top w:val="none" w:sz="0" w:space="0" w:color="auto"/>
            <w:left w:val="none" w:sz="0" w:space="0" w:color="auto"/>
            <w:bottom w:val="none" w:sz="0" w:space="0" w:color="auto"/>
            <w:right w:val="none" w:sz="0" w:space="0" w:color="auto"/>
          </w:divBdr>
        </w:div>
        <w:div w:id="962274630">
          <w:marLeft w:val="0"/>
          <w:marRight w:val="0"/>
          <w:marTop w:val="0"/>
          <w:marBottom w:val="0"/>
          <w:divBdr>
            <w:top w:val="none" w:sz="0" w:space="0" w:color="auto"/>
            <w:left w:val="none" w:sz="0" w:space="0" w:color="auto"/>
            <w:bottom w:val="none" w:sz="0" w:space="0" w:color="auto"/>
            <w:right w:val="none" w:sz="0" w:space="0" w:color="auto"/>
          </w:divBdr>
        </w:div>
        <w:div w:id="1996716275">
          <w:marLeft w:val="0"/>
          <w:marRight w:val="0"/>
          <w:marTop w:val="150"/>
          <w:marBottom w:val="0"/>
          <w:divBdr>
            <w:top w:val="none" w:sz="0" w:space="0" w:color="auto"/>
            <w:left w:val="none" w:sz="0" w:space="0" w:color="auto"/>
            <w:bottom w:val="none" w:sz="0" w:space="0" w:color="auto"/>
            <w:right w:val="none" w:sz="0" w:space="0" w:color="auto"/>
          </w:divBdr>
        </w:div>
        <w:div w:id="1251621746">
          <w:marLeft w:val="0"/>
          <w:marRight w:val="0"/>
          <w:marTop w:val="0"/>
          <w:marBottom w:val="0"/>
          <w:divBdr>
            <w:top w:val="none" w:sz="0" w:space="0" w:color="auto"/>
            <w:left w:val="none" w:sz="0" w:space="0" w:color="auto"/>
            <w:bottom w:val="none" w:sz="0" w:space="0" w:color="auto"/>
            <w:right w:val="none" w:sz="0" w:space="0" w:color="auto"/>
          </w:divBdr>
        </w:div>
        <w:div w:id="631981758">
          <w:marLeft w:val="0"/>
          <w:marRight w:val="0"/>
          <w:marTop w:val="150"/>
          <w:marBottom w:val="0"/>
          <w:divBdr>
            <w:top w:val="none" w:sz="0" w:space="0" w:color="auto"/>
            <w:left w:val="none" w:sz="0" w:space="0" w:color="auto"/>
            <w:bottom w:val="none" w:sz="0" w:space="0" w:color="auto"/>
            <w:right w:val="none" w:sz="0" w:space="0" w:color="auto"/>
          </w:divBdr>
        </w:div>
        <w:div w:id="695736646">
          <w:marLeft w:val="0"/>
          <w:marRight w:val="0"/>
          <w:marTop w:val="0"/>
          <w:marBottom w:val="0"/>
          <w:divBdr>
            <w:top w:val="none" w:sz="0" w:space="0" w:color="auto"/>
            <w:left w:val="none" w:sz="0" w:space="0" w:color="auto"/>
            <w:bottom w:val="none" w:sz="0" w:space="0" w:color="auto"/>
            <w:right w:val="none" w:sz="0" w:space="0" w:color="auto"/>
          </w:divBdr>
        </w:div>
        <w:div w:id="670107537">
          <w:marLeft w:val="0"/>
          <w:marRight w:val="0"/>
          <w:marTop w:val="150"/>
          <w:marBottom w:val="0"/>
          <w:divBdr>
            <w:top w:val="none" w:sz="0" w:space="0" w:color="auto"/>
            <w:left w:val="none" w:sz="0" w:space="0" w:color="auto"/>
            <w:bottom w:val="none" w:sz="0" w:space="0" w:color="auto"/>
            <w:right w:val="none" w:sz="0" w:space="0" w:color="auto"/>
          </w:divBdr>
        </w:div>
        <w:div w:id="1164541415">
          <w:marLeft w:val="0"/>
          <w:marRight w:val="0"/>
          <w:marTop w:val="0"/>
          <w:marBottom w:val="0"/>
          <w:divBdr>
            <w:top w:val="none" w:sz="0" w:space="0" w:color="auto"/>
            <w:left w:val="none" w:sz="0" w:space="0" w:color="auto"/>
            <w:bottom w:val="none" w:sz="0" w:space="0" w:color="auto"/>
            <w:right w:val="none" w:sz="0" w:space="0" w:color="auto"/>
          </w:divBdr>
        </w:div>
        <w:div w:id="1030758586">
          <w:marLeft w:val="0"/>
          <w:marRight w:val="0"/>
          <w:marTop w:val="150"/>
          <w:marBottom w:val="0"/>
          <w:divBdr>
            <w:top w:val="none" w:sz="0" w:space="0" w:color="auto"/>
            <w:left w:val="none" w:sz="0" w:space="0" w:color="auto"/>
            <w:bottom w:val="none" w:sz="0" w:space="0" w:color="auto"/>
            <w:right w:val="none" w:sz="0" w:space="0" w:color="auto"/>
          </w:divBdr>
        </w:div>
        <w:div w:id="169700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zy.qingdao.gov.cn/PortalQDManage/ShareResources/CorpAchievementInfo?keyValue=65582542-D347-4075-B091-805745459007" TargetMode="External"/><Relationship Id="rId13" Type="http://schemas.openxmlformats.org/officeDocument/2006/relationships/hyperlink" Target="https://ggzy.qingdao.gov.cn/PortalQDManage/ShareResources/CorpAchievementInfo?keyValue=7CBA7EA0-0F48-4AA4-9361-3ADAC8E98252"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s://ggzy.qingdao.gov.cn/PortalQDManage/ShareResources/CorpAchievementInfo?keyValue=DCA98658-D243-4ECF-B945-16B0213ACAC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ggzy.qingdao.gov.cn/PortalQDManage/ShareResources/CorpAchievementInfo?keyValue=C8391CBD-38C3-4DE7-9A5E-E2518696ECFF" TargetMode="External"/><Relationship Id="rId5" Type="http://schemas.openxmlformats.org/officeDocument/2006/relationships/hyperlink" Target="javascript:void(0)" TargetMode="External"/><Relationship Id="rId15" Type="http://schemas.openxmlformats.org/officeDocument/2006/relationships/fontTable" Target="fontTable.xml"/><Relationship Id="rId10" Type="http://schemas.openxmlformats.org/officeDocument/2006/relationships/hyperlink" Target="https://ggzy.qingdao.gov.cn/PortalQDManage/ShareResources/CorpAchievementInfo?keyValue=21001FE2-14CE-4BEB-B2F5-8DC7956CA987" TargetMode="External"/><Relationship Id="rId4" Type="http://schemas.openxmlformats.org/officeDocument/2006/relationships/hyperlink" Target="javascript:void(0)" TargetMode="External"/><Relationship Id="rId9" Type="http://schemas.openxmlformats.org/officeDocument/2006/relationships/hyperlink" Target="https://ggzy.qingdao.gov.cn/PortalQDManage/ShareResources/CorpAchievementInfo?keyValue=B2C0FAA3-217C-45E5-B519-C891F2D382AE"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2024-11-05T02:14:00Z</dcterms:created>
  <dcterms:modified xsi:type="dcterms:W3CDTF">2024-11-05T02:14:00Z</dcterms:modified>
</cp:coreProperties>
</file>